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72"/>
        <w:gridCol w:w="5268"/>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THỦ TƯỚNG 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34/2026/QĐ-TTg</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08 tháng 7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SỬA ĐỔI, BỔ SUNG MỘT SỐ ĐIỀU CỦA QUYẾT ĐỊNH SỐ 24/2023/QĐ-TTG NGÀY 22 THÁNG 9 NĂM 2023 CỦA THỦ TƯỚNG CHÍNH PHỦ QUY ĐỊNH ĐIỀU KIỆN XÁC ĐỊNH NGƯỜI BỊ PHƠI NHIỄM VỚI HIV, NGƯỜI BỊ NHIỄM HIV DO TAI NẠN RỦI RO NGHỀ NGHIỆP</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Ban hành văn bản quy phạm pháp luật số 64/2025/QH15 được sửa đổi, bổ sung bởi Luật số 87/2025/QH15;</w:t>
      </w:r>
    </w:p>
    <w:p>
      <w:pPr>
        <w:bidi w:val="0"/>
        <w:spacing w:before="120" w:beforeAutospacing="0" w:after="280" w:afterAutospacing="1"/>
      </w:pPr>
      <w:r>
        <w:rPr>
          <w:i/>
          <w:iCs/>
          <w:rtl w:val="0"/>
        </w:rPr>
        <w:t>Căn cứ Luật Phòng, chống nhiễm vi rút gây ra hội chứng suy giảm miễn dịch mắc phải ở người (HIV/AIDS) số 64/2006/QH11 được sửa đổi, bổ sung bởi Luật số 71/2020/QH14;</w:t>
      </w:r>
    </w:p>
    <w:p>
      <w:pPr>
        <w:bidi w:val="0"/>
        <w:spacing w:before="120" w:beforeAutospacing="0" w:after="280" w:afterAutospacing="1"/>
      </w:pPr>
      <w:r>
        <w:rPr>
          <w:i/>
          <w:iCs/>
          <w:rtl w:val="0"/>
        </w:rPr>
        <w:t>Theo đề nghị của Bộ trưởng Bộ Y tế tại Tờ trình số 1200/TTr-BYT ngày 30 tháng 6 năm 2026;</w:t>
      </w:r>
    </w:p>
    <w:p>
      <w:pPr>
        <w:bidi w:val="0"/>
        <w:spacing w:before="120" w:beforeAutospacing="0" w:after="280" w:afterAutospacing="1"/>
      </w:pPr>
      <w:r>
        <w:rPr>
          <w:i/>
          <w:iCs/>
          <w:rtl w:val="0"/>
        </w:rPr>
        <w:t>Thủ tướng Chính phủ ban hành Quyết định sửa đổi, bổ sung một số điều của Quyết định số 24/2023/QĐ-TTg ngày 22 tháng 9 năm 2023 của Thủ tướng Chính phủ quy định điều kiện xác định người bị phơi nhiễm với HIV, người bị nhiễm HIV do tai nạn rủi ro nghề nghiệp.</w:t>
      </w:r>
    </w:p>
    <w:p>
      <w:pPr>
        <w:bidi w:val="0"/>
        <w:spacing w:before="120" w:beforeAutospacing="0" w:after="280" w:afterAutospacing="1"/>
      </w:pPr>
      <w:bookmarkStart w:id="2" w:name="dieu_1"/>
      <w:r>
        <w:rPr>
          <w:b/>
          <w:bCs/>
          <w:rtl w:val="0"/>
        </w:rPr>
        <w:t>Điều 1. Sửa đổi, bổ sung một số điều của Quyết định số 24/2023/QĐ-TTg ngày 22 tháng 9 năm 2023 của Thủ tướng Chính phủ quy định điều kiện xác định người bị phơi nhiễm với HIV, người bị nhiễm HIV do tai nạn rủi ro nghề nghiệp</w:t>
      </w:r>
      <w:bookmarkEnd w:id="2"/>
    </w:p>
    <w:p>
      <w:pPr>
        <w:bidi w:val="0"/>
        <w:spacing w:before="120" w:beforeAutospacing="0" w:after="280" w:afterAutospacing="1"/>
      </w:pPr>
      <w:bookmarkStart w:id="3" w:name="khoan_1_1"/>
      <w:r>
        <w:rPr>
          <w:rtl w:val="0"/>
        </w:rPr>
        <w:t>1. Sửa đổi</w:t>
      </w:r>
      <w:bookmarkEnd w:id="3"/>
      <w:r>
        <w:rPr>
          <w:rtl w:val="0"/>
        </w:rPr>
        <w:t xml:space="preserve"> </w:t>
      </w:r>
      <w:bookmarkStart w:id="4" w:name="dc_1"/>
      <w:r>
        <w:rPr>
          <w:rtl w:val="0"/>
        </w:rPr>
        <w:t>Điều 4</w:t>
      </w:r>
      <w:bookmarkEnd w:id="4"/>
      <w:r>
        <w:rPr>
          <w:rtl w:val="0"/>
        </w:rPr>
        <w:t xml:space="preserve"> </w:t>
      </w:r>
      <w:bookmarkStart w:id="5" w:name="khoan_1_1_name"/>
      <w:r>
        <w:rPr>
          <w:rtl w:val="0"/>
        </w:rPr>
        <w:t>như sau:</w:t>
      </w:r>
      <w:bookmarkEnd w:id="5"/>
    </w:p>
    <w:p>
      <w:pPr>
        <w:bidi w:val="0"/>
        <w:spacing w:before="120" w:beforeAutospacing="0" w:after="280" w:afterAutospacing="1"/>
      </w:pPr>
      <w:r>
        <w:rPr>
          <w:b/>
          <w:bCs/>
          <w:rtl w:val="0"/>
        </w:rPr>
        <w:t>“Điều 4. Thẩm quyền cấp giấy chứng nhận bị phơi nhiễm với HIV, bị nhiễm HIV do tai nạn rủi ro nghề nghiệp.</w:t>
      </w:r>
    </w:p>
    <w:p>
      <w:pPr>
        <w:bidi w:val="0"/>
        <w:spacing w:before="120" w:beforeAutospacing="0" w:after="280" w:afterAutospacing="1"/>
      </w:pPr>
      <w:r>
        <w:rPr>
          <w:rtl w:val="0"/>
        </w:rPr>
        <w:t>1. Bộ trưởng Bộ Quốc phòng cấp giấy chứng nhận bị phơi nhiễm với HIV, bị nhiễm HIV do tai nạn rủi ro nghề nghiệp cho các đối tượng thuộc thẩm quyền quản lý.</w:t>
      </w:r>
    </w:p>
    <w:p>
      <w:pPr>
        <w:bidi w:val="0"/>
        <w:spacing w:before="120" w:beforeAutospacing="0" w:after="280" w:afterAutospacing="1"/>
      </w:pPr>
      <w:r>
        <w:rPr>
          <w:rtl w:val="0"/>
        </w:rPr>
        <w:t>2. Bộ trưởng Bộ Công an cấp giấy chứng nhận bị phơi nhiễm với HIV, bị nhiễm HIV do tai nạn rủi ro nghề nghiệp cho các đối tượng thuộc thẩm quyền quản lý.</w:t>
      </w:r>
    </w:p>
    <w:p>
      <w:pPr>
        <w:bidi w:val="0"/>
        <w:spacing w:before="120" w:beforeAutospacing="0" w:after="280" w:afterAutospacing="1"/>
      </w:pPr>
      <w:r>
        <w:rPr>
          <w:rtl w:val="0"/>
        </w:rPr>
        <w:t>3. Chủ tịch Ủy ban nhân dân cấp tỉnh cấp giấy chứng nhận bị phơi nhiễm với HIV, bị nhiễm HIV do tai nạn rủi ro nghề nghiệp cho các đối tượng thuộc thẩm quyền quản lý và các đối tượng thuộc thẩm quyền quản lý của Bộ Y tế và các bộ, ngành khác có trụ sở trên địa bàn tỉnh trừ trường hợp quy định tại các khoản 1 và 2 Điều này.”</w:t>
      </w:r>
    </w:p>
    <w:p>
      <w:pPr>
        <w:bidi w:val="0"/>
        <w:spacing w:before="120" w:beforeAutospacing="0" w:after="280" w:afterAutospacing="1"/>
      </w:pPr>
      <w:r>
        <w:rPr>
          <w:rtl w:val="0"/>
        </w:rPr>
        <w:t xml:space="preserve">2. Sửa đổi </w:t>
      </w:r>
      <w:bookmarkStart w:id="6" w:name="dc_2"/>
      <w:r>
        <w:rPr>
          <w:rtl w:val="0"/>
        </w:rPr>
        <w:t>điểm c, điểm d khoản 1 và điểm b khoản 2 Điều 5</w:t>
      </w:r>
      <w:bookmarkEnd w:id="6"/>
      <w:r>
        <w:rPr>
          <w:rtl w:val="0"/>
        </w:rPr>
        <w:t xml:space="preserve"> như sau:</w:t>
      </w:r>
    </w:p>
    <w:p>
      <w:pPr>
        <w:bidi w:val="0"/>
        <w:spacing w:before="120" w:beforeAutospacing="0" w:after="280" w:afterAutospacing="1"/>
      </w:pPr>
      <w:bookmarkStart w:id="7" w:name="diem_a_2_1"/>
      <w:r>
        <w:rPr>
          <w:rtl w:val="0"/>
        </w:rPr>
        <w:t>a) Sửa đổi</w:t>
      </w:r>
      <w:bookmarkEnd w:id="7"/>
      <w:r>
        <w:rPr>
          <w:rtl w:val="0"/>
        </w:rPr>
        <w:t xml:space="preserve"> </w:t>
      </w:r>
      <w:bookmarkStart w:id="8" w:name="dc_3"/>
      <w:r>
        <w:rPr>
          <w:rtl w:val="0"/>
        </w:rPr>
        <w:t>điểm c, điểm d khoản 1</w:t>
      </w:r>
      <w:bookmarkEnd w:id="8"/>
      <w:r>
        <w:rPr>
          <w:rtl w:val="0"/>
        </w:rPr>
        <w:t xml:space="preserve"> </w:t>
      </w:r>
      <w:bookmarkStart w:id="9" w:name="diem_a_2_1_name"/>
      <w:r>
        <w:rPr>
          <w:rtl w:val="0"/>
        </w:rPr>
        <w:t>như sau:</w:t>
      </w:r>
      <w:bookmarkEnd w:id="9"/>
    </w:p>
    <w:p>
      <w:pPr>
        <w:bidi w:val="0"/>
        <w:spacing w:before="120" w:beforeAutospacing="0" w:after="280" w:afterAutospacing="1"/>
      </w:pPr>
      <w:r>
        <w:rPr>
          <w:rtl w:val="0"/>
        </w:rPr>
        <w:t>“c) Bản sao kết quả xét nghiệm HIV âm tính;”</w:t>
      </w:r>
    </w:p>
    <w:p>
      <w:pPr>
        <w:bidi w:val="0"/>
        <w:spacing w:before="120" w:beforeAutospacing="0" w:after="280" w:afterAutospacing="1"/>
      </w:pPr>
      <w:r>
        <w:rPr>
          <w:rtl w:val="0"/>
        </w:rPr>
        <w:t>d) Bản sao kết quả xét nghiệm HIV dương tính của nguồn gây phơi nhiễm HIV (nếu có).”</w:t>
      </w:r>
    </w:p>
    <w:p>
      <w:pPr>
        <w:bidi w:val="0"/>
        <w:spacing w:before="120" w:beforeAutospacing="0" w:after="280" w:afterAutospacing="1"/>
      </w:pPr>
      <w:bookmarkStart w:id="10" w:name="diem_b_2_1"/>
      <w:r>
        <w:rPr>
          <w:rtl w:val="0"/>
        </w:rPr>
        <w:t>b) Sửa đổi</w:t>
      </w:r>
      <w:bookmarkEnd w:id="10"/>
      <w:r>
        <w:rPr>
          <w:rtl w:val="0"/>
        </w:rPr>
        <w:t xml:space="preserve"> </w:t>
      </w:r>
      <w:bookmarkStart w:id="11" w:name="dc_4"/>
      <w:r>
        <w:rPr>
          <w:rtl w:val="0"/>
        </w:rPr>
        <w:t>điểm b khoản 2</w:t>
      </w:r>
      <w:bookmarkEnd w:id="11"/>
      <w:r>
        <w:rPr>
          <w:rtl w:val="0"/>
        </w:rPr>
        <w:t xml:space="preserve"> </w:t>
      </w:r>
      <w:bookmarkStart w:id="12" w:name="diem_b_2_1_name"/>
      <w:r>
        <w:rPr>
          <w:rtl w:val="0"/>
        </w:rPr>
        <w:t>như sau:</w:t>
      </w:r>
      <w:bookmarkEnd w:id="12"/>
    </w:p>
    <w:p>
      <w:pPr>
        <w:bidi w:val="0"/>
        <w:spacing w:before="120" w:beforeAutospacing="0" w:after="280" w:afterAutospacing="1"/>
      </w:pPr>
      <w:r>
        <w:rPr>
          <w:rtl w:val="0"/>
        </w:rPr>
        <w:t>“b) Bản sao một trong các giấy tờ sau: kết quả xét nghiệm HIV dương tính, tóm tắt hồ sơ bệnh án của người nhiễm HIV do tai nạn rủi ro nghề nghiệp.”</w:t>
      </w:r>
    </w:p>
    <w:p>
      <w:pPr>
        <w:bidi w:val="0"/>
        <w:spacing w:before="120" w:beforeAutospacing="0" w:after="280" w:afterAutospacing="1"/>
      </w:pPr>
      <w:r>
        <w:rPr>
          <w:rtl w:val="0"/>
        </w:rPr>
        <w:t xml:space="preserve">3. Sửa đổi, bổ sung </w:t>
      </w:r>
      <w:bookmarkStart w:id="13" w:name="dc_5"/>
      <w:r>
        <w:rPr>
          <w:rtl w:val="0"/>
        </w:rPr>
        <w:t>điểm c khoản 2 và điểm a khoản 3 Điều 6</w:t>
      </w:r>
      <w:bookmarkEnd w:id="13"/>
      <w:r>
        <w:rPr>
          <w:rtl w:val="0"/>
        </w:rPr>
        <w:t xml:space="preserve"> như sau:</w:t>
      </w:r>
    </w:p>
    <w:p>
      <w:pPr>
        <w:bidi w:val="0"/>
        <w:spacing w:before="120" w:beforeAutospacing="0" w:after="280" w:afterAutospacing="1"/>
      </w:pPr>
      <w:bookmarkStart w:id="14" w:name="diem_a_3_1"/>
      <w:r>
        <w:rPr>
          <w:rtl w:val="0"/>
        </w:rPr>
        <w:t>a) Sửa đổi, bổ sung</w:t>
      </w:r>
      <w:bookmarkEnd w:id="14"/>
      <w:r>
        <w:rPr>
          <w:rtl w:val="0"/>
        </w:rPr>
        <w:t xml:space="preserve"> </w:t>
      </w:r>
      <w:bookmarkStart w:id="15" w:name="dc_6"/>
      <w:r>
        <w:rPr>
          <w:rtl w:val="0"/>
        </w:rPr>
        <w:t>điểm c khoản 2</w:t>
      </w:r>
      <w:bookmarkEnd w:id="15"/>
      <w:r>
        <w:rPr>
          <w:rtl w:val="0"/>
        </w:rPr>
        <w:t xml:space="preserve"> </w:t>
      </w:r>
      <w:bookmarkStart w:id="16" w:name="diem_a_3_1_name"/>
      <w:r>
        <w:rPr>
          <w:rtl w:val="0"/>
        </w:rPr>
        <w:t>như sau:</w:t>
      </w:r>
      <w:bookmarkEnd w:id="16"/>
    </w:p>
    <w:p>
      <w:pPr>
        <w:bidi w:val="0"/>
        <w:spacing w:before="120" w:beforeAutospacing="0" w:after="280" w:afterAutospacing="1"/>
      </w:pPr>
      <w:r>
        <w:rPr>
          <w:rtl w:val="0"/>
        </w:rPr>
        <w:t>“c) Trên môi trường điện tử. Việc nộp hồ sơ điện tử tuân thủ theo quy định của pháp luật về thực hiện thủ tục hành chính trên môi trường điện tử và không yêu cầu nộp các thành phần hồ sơ đã được kết nối, chia sẻ trên cơ sở dữ liệu của cơ quan, tổ chức có thẩm quyền.”</w:t>
      </w:r>
    </w:p>
    <w:p>
      <w:pPr>
        <w:bidi w:val="0"/>
        <w:spacing w:before="120" w:beforeAutospacing="0" w:after="280" w:afterAutospacing="1"/>
      </w:pPr>
      <w:bookmarkStart w:id="17" w:name="diem_b_3_1"/>
      <w:r>
        <w:rPr>
          <w:rtl w:val="0"/>
        </w:rPr>
        <w:t>b) Sửa đổi, bổ sung</w:t>
      </w:r>
      <w:bookmarkEnd w:id="17"/>
      <w:r>
        <w:rPr>
          <w:rtl w:val="0"/>
        </w:rPr>
        <w:t xml:space="preserve"> </w:t>
      </w:r>
      <w:bookmarkStart w:id="18" w:name="dc_7"/>
      <w:r>
        <w:rPr>
          <w:rtl w:val="0"/>
        </w:rPr>
        <w:t>điểm a khoản 3</w:t>
      </w:r>
      <w:bookmarkEnd w:id="18"/>
      <w:r>
        <w:rPr>
          <w:rtl w:val="0"/>
        </w:rPr>
        <w:t xml:space="preserve"> </w:t>
      </w:r>
      <w:bookmarkStart w:id="19" w:name="diem_b_3_1_name"/>
      <w:r>
        <w:rPr>
          <w:rtl w:val="0"/>
        </w:rPr>
        <w:t>như sau:</w:t>
      </w:r>
      <w:bookmarkEnd w:id="19"/>
    </w:p>
    <w:p>
      <w:pPr>
        <w:bidi w:val="0"/>
        <w:spacing w:before="120" w:beforeAutospacing="0" w:after="280" w:afterAutospacing="1"/>
      </w:pPr>
      <w:r>
        <w:rPr>
          <w:rtl w:val="0"/>
        </w:rPr>
        <w:t>“a) Trường hợp hồ sơ hợp lệ, trong thời hạn 03 ngày làm việc kể từ ngày tiếp nhận đủ hồ sơ, cơ quan có thẩm quyền cấp giấy chứng nhận bị phơi nhiễm với HIV, bị nhiễm HIV do tai nạn rủi ro nghề nghiệp. Giấy chứng nhận bị phơi nhiễm với HIV, bị nhiễm HIV do tai nạn rủi ro nghề nghiệp theo quy định tại Mẫu số 04 và Mẫu số 05 Phụ lục ban hành kèm theo Quyết định này;”</w:t>
      </w:r>
    </w:p>
    <w:p>
      <w:pPr>
        <w:bidi w:val="0"/>
        <w:spacing w:before="120" w:beforeAutospacing="0" w:after="280" w:afterAutospacing="1"/>
      </w:pPr>
      <w:bookmarkStart w:id="20" w:name="dieu_2"/>
      <w:r>
        <w:rPr>
          <w:b/>
          <w:bCs/>
          <w:rtl w:val="0"/>
        </w:rPr>
        <w:t>Điều 2. Hiệu lực thi hành</w:t>
      </w:r>
      <w:bookmarkEnd w:id="20"/>
    </w:p>
    <w:p>
      <w:pPr>
        <w:bidi w:val="0"/>
        <w:spacing w:before="120" w:beforeAutospacing="0" w:after="280" w:afterAutospacing="1"/>
      </w:pPr>
      <w:r>
        <w:rPr>
          <w:rtl w:val="0"/>
        </w:rPr>
        <w:t>Quyết định này có hiệu lực thi hành từ ngày 01 tháng 3 năm 2027.</w:t>
      </w:r>
    </w:p>
    <w:p>
      <w:pPr>
        <w:bidi w:val="0"/>
        <w:spacing w:before="120" w:beforeAutospacing="0" w:after="280" w:afterAutospacing="1"/>
      </w:pPr>
      <w:bookmarkStart w:id="21" w:name="dieu_3"/>
      <w:r>
        <w:rPr>
          <w:b/>
          <w:bCs/>
          <w:rtl w:val="0"/>
        </w:rPr>
        <w:t>Điều 3. Điều khoản chuyển tiếp</w:t>
      </w:r>
      <w:bookmarkEnd w:id="21"/>
    </w:p>
    <w:p>
      <w:pPr>
        <w:bidi w:val="0"/>
        <w:spacing w:before="120" w:beforeAutospacing="0" w:after="280" w:afterAutospacing="1"/>
      </w:pPr>
      <w:r>
        <w:rPr>
          <w:rtl w:val="0"/>
        </w:rPr>
        <w:t xml:space="preserve">Đối với các hồ sơ đề nghị cấp giấy chứng nhận bị phơi nhiễm với HIV, bị nhiễm HIV do tai nạn rủi ro nghề nghiệp đã được cơ quan có thẩm quyền tiếp nhận trước ngày Quyết định này có hiệu lực thi hành thì cơ quan đã tiếp nhận hồ sơ tiếp tục giải quyết theo Quyết định số 24/2023/QĐ-TTg ngày 22 tháng 9 năm 2023 của Thủ tướng Chính phủ quy định điều kiện xác định người bị phơi nhiễm với HIV, người bị nhiễm HIV do tai nạn rủi ro nghề nghiệp và Nghị định số 148/2025/NĐ-CP ngày 12 tháng 6 năm 2025 của Chính phủ quy định về phân quyền, phân cấp trong lĩnh vực y tế cho đến khi kết thúc thủ tục hành chính. </w:t>
      </w:r>
    </w:p>
    <w:p>
      <w:pPr>
        <w:bidi w:val="0"/>
        <w:spacing w:before="120" w:beforeAutospacing="0" w:after="280" w:afterAutospacing="1"/>
      </w:pPr>
      <w:bookmarkStart w:id="22" w:name="dieu_4"/>
      <w:r>
        <w:rPr>
          <w:b/>
          <w:bCs/>
          <w:rtl w:val="0"/>
        </w:rPr>
        <w:t>Điều 4. Trách nhiệm thi hành</w:t>
      </w:r>
      <w:bookmarkEnd w:id="22"/>
    </w:p>
    <w:p>
      <w:pPr>
        <w:bidi w:val="0"/>
        <w:spacing w:before="120" w:beforeAutospacing="0" w:after="280" w:afterAutospacing="1"/>
      </w:pPr>
      <w:r>
        <w:rPr>
          <w:rtl w:val="0"/>
        </w:rPr>
        <w:t>Các Bộ trưởng, Thủ trưởng cơ quan ngang bộ, Chủ tịch Ủy ban nhân dân tỉnh, thành phố và các tổ chức, cá nhân có liên quan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KGVX (2b)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Thị Thanh Trà</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